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Atividade Proposta: Análise de Ataques Cibernéticos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Introdução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documento apresenta uma análise detalhada de dois ataques cibernéticos de grande repercussão ocorridos nos últimos cinco anos, conforme solicitado na atividade. Os ataques escolhidos foram o ataque de ransomware contra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Colonial Pipeline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o ataque à cadeia de suprimentos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SolarWinds (SUNBURST)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selecionados por representarem tipos distintos de ameaças e por seus impactos significativos em infraestruturas críticas e na segurança global.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Ataque 1: Colonial Pipeline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1. Data do ataque: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ataque foi descoberto e iniciado em 7 de maio de 2021.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2. Tipo de ataque: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Ransomware, um tipo de ataque em que os dados da vítima são criptografados e um resgate é exigido para restaurar o acesso.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3. Descrição do ataque ou de como aconteceu: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grupo cibercriminoso conhecido como DarkSide obteve acesso à rede de tecnologia da informação (TI) da Colonial Pipeline, a maior operadora de oleodutos dos Estados Unidos. A invasão ocorreu por meio de uma única credencial de VPN (Rede Privada Virtual) que foi comprometida. Essa conta, pertencente a um ex-funcionário, não estava protegida por autenticação multifator (MFA). Uma vez dentro da rede, os invasores implantaram o ransomware, criptografaram aproximadamente 100 GB de dados e os exfiltraram (roubaram). Diante da ameaça, a Colonial Pipeline desligou preventivamente toda a sua operação de oleodutos para evitar que o ataque se espalhasse para os sistemas de controle operacional (OT), causando uma paralisação massiva no fornecimento de combustível na costa leste dos EUA.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4. Vulnerabilidade explorada (verificar se está no CVE e qual o seu código):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ataque não explorou uma vulnerabilidade de software específica com um código CVE. A principal vulnerabilidade foi uma falha grave de segurança operacional e de gestão de identidade. O ponto de entrada foi uma senha comprometida para uma conta VPN, que foi encontrada em um vazamento de dados na dark web. A ausência de autenticação multifator (MFA) foi o fator decisivo que permitiu o sucesso do acesso inicial.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5. Impactos e/ou prejuízo (pode ser estimado):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Impacto na Infraestrutura Crítica: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paralisação do oleoduto por quase uma semana gerou uma crise de abastecimento de combustível, levando a compras de pânico, aumento de preços e declarações de estado de emergência.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Prejuízo Financeiro: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Colonial Pipeline pagou um resgate de 75 bitcoins, que na época valiam cerca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US$ 4,4 milhões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Embora parte desse valor tenha sido recuperado pelo FBI, os custos totais com a resposta ao incidente, perda de receita e investimentos em segurança foram muito superiores.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Impacto na Segurança Nacional: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incidente expôs a vulnerabilidade da infraestrutura crítica dos EUA a ataques cibernéticos, levando a novas diretrizes de segurança do governo.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6. Tipo de Proteção que poderia ter sido aplicada para evitá-lo: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Implementação de Autenticação Multifator (MFA):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Medida mais crucial. Teria bloqueado o acesso inicial, mesmo com a senha comprometida.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Gestão de Identidade e Acesso (IAM):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Desativação imediata de contas de ex-funcionários.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Segmentação de Rede: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Uma separação mais robusta entre as redes de TI (corporativa) e OT (operacional) poderia ter limitado o risco e evitado a necessidade de um desligamento completo da operação.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Monitoramento e Detecção de Ameaças: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Sistemas para detectar atividades anômalas, como logins de contas inativas ou a movimentação de grandes volumes de dados.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Ataque 2: SolarWinds (SUNBURST)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1. Data do ataque: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violação foi descoberta em dezembro de 2020, mas a infiltração inicial e a distribuição do código malicioso começaram meses antes, por volta de março de 2020.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2. Tipo de ataque: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Ataque à Cadeia de Suprimentos (Supply Chain Attack), onde um fornecedor de software é comprometido para distribuir malware aos seus clientes.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3. Descrição do ataque ou de como aconteceu: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Os invasores, atribuídos ao grupo de elite APT29 (Cozy Bear), patrocinado por um estado-nação, comprometeram o ambiente de desenvolvimento da SolarWinds. Eles inseriram um código malicioso (um backdoor chamado "SUNBURST") em uma atualização legítima do software de monitoramento Orion Platform. Quando a SolarWinds enviou essa atualização para milhares de seus clientes — incluindo agências do governo dos EUA e grandes empresas —, eles inadvertidamente instalaram o malware. O backdoor se comunicava com servidores de Comando e Controle (C2) dos invasores, permitindo-lhes roubar dados, espionar as redes das vítimas e implantar outros malwares para aprofundar o comprometimento.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4. Vulnerabilidade explorada (verificar se está no CVE e qual o seu código):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ataque em si foi complexo e não se baseou em uma única vulnerabilidade CVE para o acesso inicial. No entanto, o backdoor implantado foi rastreado como CVE-2020-10148. Além disso, uma vez dentro das redes das vítimas, os invasores exploraram outras falhas. Uma delas, relacionada à plataforma Orion, é a CVE-2020-14005, que permitia a um invasor contornar a autenticação. O principal vetor, contudo, foi o comprometimento do processo de build do software.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5. Impactos e/ou prejuízo (pode ser estimado):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Impacto Estratégico e de Espionagem: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Considerado um dos ataques de espionagem cibernética mais significativos da história, comprometendo agências governamentais de alto escalão e grandes empresas de tecnologia.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Vazamento de Dados Sensíveis: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Roubo de informações confidenciais, propriedade intelectual e comunicações internas de centenas de organizações.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Prejuízo Financeiro: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custo global para remediar o ataque foi estimado em mais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US$ 100 bilhões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incluindo custos de investigação, limpeza de redes, melhorias de segurança e perda de confiança no mercado. As ações da SolarWinds despencaram após a revelação.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6. Tipo de Proteção que poderia ter sido aplicada para evitá-lo: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Segurança no Ciclo de Vida de Desenvolvimento de Software (Secure SDLC):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Implementação de processos rigorosos de verificação de integridade do código, assinatura de código e monitoramento contínuo do ambiente de desenvolvimento.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Princípio do Mínimo Privilégio: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Limitar permissões de sistemas e usuários para conter o dano em caso de comprometimento.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Monitoramento de Rede Avançado: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Uso de ferramentas de EDR (Endpoint Detection and Response) e NDR (Network Detection and Response) para identificar comunicações suspeitas com servidores C2 e outras atividades anômalas.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Zero Trust Architecture: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Adotar um modelo de "confiança zero", onde nenhum usuário ou dispositivo é confiável por padrão, exigindo verificação contínua.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